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7922">
        <w:rPr>
          <w:rFonts w:ascii="Times New Roman" w:hAnsi="Times New Roman" w:cs="Times New Roman"/>
          <w:sz w:val="24"/>
          <w:szCs w:val="24"/>
        </w:rPr>
        <w:t xml:space="preserve"> Воротнее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922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A9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9BE">
        <w:rPr>
          <w:rFonts w:ascii="Times New Roman" w:hAnsi="Times New Roman" w:cs="Times New Roman"/>
          <w:sz w:val="28"/>
          <w:szCs w:val="28"/>
        </w:rPr>
        <w:t>Воротнее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</w:t>
      </w:r>
      <w:r w:rsidR="007466F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</w:t>
      </w:r>
      <w:r w:rsidR="005C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1B2">
        <w:rPr>
          <w:rFonts w:ascii="Times New Roman" w:hAnsi="Times New Roman" w:cs="Times New Roman"/>
          <w:sz w:val="28"/>
          <w:szCs w:val="28"/>
        </w:rPr>
        <w:t>Воротнее</w:t>
      </w:r>
      <w:bookmarkStart w:id="36" w:name="_GoBack"/>
      <w:bookmarkEnd w:id="36"/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38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38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38A7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5C38A7" w:rsidRDefault="005C3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5C38A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Воротнее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 w:rsidP="00EE0E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E7B">
        <w:rPr>
          <w:rFonts w:ascii="Times New Roman" w:hAnsi="Times New Roman" w:cs="Times New Roman"/>
          <w:sz w:val="28"/>
          <w:szCs w:val="28"/>
        </w:rPr>
        <w:t xml:space="preserve"> Воротнее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EE0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D" w:rsidRDefault="00A9242D" w:rsidP="002E570C">
      <w:pPr>
        <w:spacing w:after="0" w:line="240" w:lineRule="auto"/>
      </w:pPr>
      <w:r>
        <w:separator/>
      </w:r>
    </w:p>
  </w:endnote>
  <w:endnote w:type="continuationSeparator" w:id="0">
    <w:p w:rsidR="00A9242D" w:rsidRDefault="00A9242D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D" w:rsidRDefault="00A9242D" w:rsidP="002E570C">
      <w:pPr>
        <w:spacing w:after="0" w:line="240" w:lineRule="auto"/>
      </w:pPr>
      <w:r>
        <w:separator/>
      </w:r>
    </w:p>
  </w:footnote>
  <w:footnote w:type="continuationSeparator" w:id="0">
    <w:p w:rsidR="00A9242D" w:rsidRDefault="00A9242D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1D7922" w:rsidRDefault="00A924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B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D7922" w:rsidRDefault="001D7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34FE"/>
    <w:rsid w:val="0010669A"/>
    <w:rsid w:val="00110A5B"/>
    <w:rsid w:val="0011238E"/>
    <w:rsid w:val="0013465D"/>
    <w:rsid w:val="00140FE6"/>
    <w:rsid w:val="0014654F"/>
    <w:rsid w:val="00146D2A"/>
    <w:rsid w:val="001479BE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D7922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C38A7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B7F25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466FD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242D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621B2"/>
    <w:rsid w:val="00E745E7"/>
    <w:rsid w:val="00E76C4D"/>
    <w:rsid w:val="00E87AC4"/>
    <w:rsid w:val="00E9067C"/>
    <w:rsid w:val="00E91DD9"/>
    <w:rsid w:val="00EA0C79"/>
    <w:rsid w:val="00EC71DD"/>
    <w:rsid w:val="00ED5480"/>
    <w:rsid w:val="00EE0E7B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CCF5-92D2-492D-A072-7B2BEB0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8</cp:revision>
  <cp:lastPrinted>2015-09-28T06:48:00Z</cp:lastPrinted>
  <dcterms:created xsi:type="dcterms:W3CDTF">2016-03-17T04:38:00Z</dcterms:created>
  <dcterms:modified xsi:type="dcterms:W3CDTF">2016-03-21T07:16:00Z</dcterms:modified>
</cp:coreProperties>
</file>